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7922E" w14:textId="2F21851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C43B31">
        <w:rPr>
          <w:noProof w:val="0"/>
          <w:sz w:val="24"/>
          <w:szCs w:val="24"/>
        </w:rPr>
        <w:t>5</w:t>
      </w:r>
      <w:r w:rsidR="00CB6651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D4BCF">
        <w:rPr>
          <w:bCs/>
          <w:noProof w:val="0"/>
          <w:sz w:val="24"/>
          <w:szCs w:val="24"/>
        </w:rPr>
        <w:t>9</w:t>
      </w:r>
      <w:r w:rsidR="00E209A1">
        <w:rPr>
          <w:bCs/>
          <w:noProof w:val="0"/>
          <w:sz w:val="24"/>
          <w:szCs w:val="24"/>
        </w:rPr>
        <w:t>5978</w:t>
      </w:r>
    </w:p>
    <w:p w14:paraId="7BFFDEF3" w14:textId="77777777" w:rsidR="00CD4C7B" w:rsidRPr="00E209A1" w:rsidRDefault="00CB665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E209A1">
        <w:rPr>
          <w:rFonts w:cs="Arial"/>
          <w:sz w:val="24"/>
          <w:szCs w:val="24"/>
          <w:lang w:val="en-US"/>
        </w:rPr>
        <w:t>Chongqing</w:t>
      </w:r>
      <w:r w:rsidR="001370F2" w:rsidRPr="00E209A1">
        <w:rPr>
          <w:rFonts w:cs="Arial"/>
          <w:sz w:val="24"/>
          <w:szCs w:val="24"/>
          <w:lang w:val="en-US"/>
        </w:rPr>
        <w:t xml:space="preserve">, </w:t>
      </w:r>
      <w:r w:rsidRPr="00E209A1">
        <w:rPr>
          <w:rFonts w:cs="Arial"/>
          <w:sz w:val="24"/>
          <w:szCs w:val="24"/>
          <w:lang w:val="en-US"/>
        </w:rPr>
        <w:t>China</w:t>
      </w:r>
      <w:r w:rsidR="001370F2" w:rsidRPr="00E209A1">
        <w:rPr>
          <w:rFonts w:cs="Arial"/>
          <w:sz w:val="24"/>
          <w:szCs w:val="24"/>
          <w:lang w:val="en-US"/>
        </w:rPr>
        <w:t xml:space="preserve">, </w:t>
      </w:r>
      <w:r w:rsidRPr="00E209A1">
        <w:rPr>
          <w:rFonts w:cs="Arial"/>
          <w:sz w:val="24"/>
          <w:szCs w:val="24"/>
          <w:lang w:val="en-US"/>
        </w:rPr>
        <w:t>14</w:t>
      </w:r>
      <w:r w:rsidR="001370F2" w:rsidRPr="00E209A1">
        <w:rPr>
          <w:rFonts w:cs="Arial"/>
          <w:sz w:val="24"/>
          <w:szCs w:val="24"/>
          <w:lang w:val="en-US"/>
        </w:rPr>
        <w:t xml:space="preserve"> – </w:t>
      </w:r>
      <w:r w:rsidRPr="00E209A1">
        <w:rPr>
          <w:rFonts w:cs="Arial"/>
          <w:sz w:val="24"/>
          <w:szCs w:val="24"/>
          <w:lang w:val="en-US"/>
        </w:rPr>
        <w:t>18</w:t>
      </w:r>
      <w:r w:rsidR="001370F2" w:rsidRPr="00E209A1">
        <w:rPr>
          <w:rFonts w:cs="Arial"/>
          <w:sz w:val="24"/>
          <w:szCs w:val="24"/>
          <w:lang w:val="en-US"/>
        </w:rPr>
        <w:t xml:space="preserve"> </w:t>
      </w:r>
      <w:proofErr w:type="gramStart"/>
      <w:r w:rsidRPr="00E209A1">
        <w:rPr>
          <w:rFonts w:cs="Arial"/>
          <w:sz w:val="24"/>
          <w:szCs w:val="24"/>
          <w:lang w:val="en-US"/>
        </w:rPr>
        <w:t>October</w:t>
      </w:r>
      <w:r w:rsidR="009C4D5C" w:rsidRPr="00E209A1">
        <w:rPr>
          <w:rFonts w:eastAsia="SimSun"/>
          <w:noProof w:val="0"/>
          <w:sz w:val="24"/>
          <w:szCs w:val="24"/>
          <w:lang w:val="en-US" w:eastAsia="zh-CN"/>
        </w:rPr>
        <w:t>,</w:t>
      </w:r>
      <w:proofErr w:type="gramEnd"/>
      <w:r w:rsidR="005D4274" w:rsidRPr="00E209A1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E209A1"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3454FC" w:rsidRPr="00E209A1">
        <w:rPr>
          <w:rFonts w:eastAsia="SimSun"/>
          <w:noProof w:val="0"/>
          <w:sz w:val="24"/>
          <w:szCs w:val="24"/>
          <w:lang w:val="en-US" w:eastAsia="zh-CN"/>
        </w:rPr>
        <w:t>1</w:t>
      </w:r>
      <w:r w:rsidR="00AD4BCF" w:rsidRPr="00E209A1">
        <w:rPr>
          <w:rFonts w:eastAsia="SimSun"/>
          <w:noProof w:val="0"/>
          <w:sz w:val="24"/>
          <w:szCs w:val="24"/>
          <w:lang w:val="en-US" w:eastAsia="zh-CN"/>
        </w:rPr>
        <w:t>9</w:t>
      </w:r>
    </w:p>
    <w:p w14:paraId="2219143A" w14:textId="77777777" w:rsidR="00CD4C7B" w:rsidRPr="00E209A1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729C9F7" w14:textId="77777777" w:rsidR="00CD4C7B" w:rsidRPr="00E209A1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935DADA" w14:textId="56B2B472" w:rsidR="00CD4C7B" w:rsidRPr="00E209A1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209A1">
        <w:rPr>
          <w:rFonts w:cs="Arial"/>
          <w:b/>
          <w:bCs/>
          <w:sz w:val="24"/>
          <w:lang w:val="en-US"/>
        </w:rPr>
        <w:t>Agenda item:</w:t>
      </w:r>
      <w:r w:rsidRPr="00E209A1">
        <w:rPr>
          <w:rFonts w:cs="Arial"/>
          <w:b/>
          <w:bCs/>
          <w:sz w:val="24"/>
          <w:lang w:val="en-US"/>
        </w:rPr>
        <w:tab/>
      </w:r>
      <w:r w:rsidR="000E5F36">
        <w:rPr>
          <w:rFonts w:cs="Arial"/>
          <w:b/>
          <w:bCs/>
          <w:sz w:val="24"/>
          <w:lang w:val="en-US" w:eastAsia="ja-JP"/>
        </w:rPr>
        <w:t>10.2.1</w:t>
      </w:r>
    </w:p>
    <w:p w14:paraId="0219BA09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002A0C5" w14:textId="152B730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1D37">
        <w:rPr>
          <w:rFonts w:ascii="Arial" w:hAnsi="Arial" w:cs="Arial"/>
          <w:b/>
          <w:bCs/>
          <w:sz w:val="24"/>
        </w:rPr>
        <w:t xml:space="preserve">On F1 transfer </w:t>
      </w:r>
      <w:r w:rsidR="00B14F5A">
        <w:rPr>
          <w:rFonts w:ascii="Arial" w:hAnsi="Arial" w:cs="Arial"/>
          <w:b/>
          <w:bCs/>
          <w:sz w:val="24"/>
        </w:rPr>
        <w:t xml:space="preserve">of the </w:t>
      </w:r>
      <w:r w:rsidR="00766217">
        <w:rPr>
          <w:rFonts w:ascii="Arial" w:hAnsi="Arial" w:cs="Arial"/>
          <w:b/>
          <w:bCs/>
          <w:sz w:val="24"/>
        </w:rPr>
        <w:t xml:space="preserve">UE </w:t>
      </w:r>
      <w:r w:rsidR="008D1F00">
        <w:rPr>
          <w:rFonts w:ascii="Arial" w:hAnsi="Arial" w:cs="Arial"/>
          <w:b/>
          <w:bCs/>
          <w:sz w:val="24"/>
        </w:rPr>
        <w:t xml:space="preserve">RLF report </w:t>
      </w:r>
      <w:r w:rsidR="00B14F5A">
        <w:rPr>
          <w:rFonts w:ascii="Arial" w:hAnsi="Arial" w:cs="Arial"/>
          <w:b/>
          <w:bCs/>
          <w:sz w:val="24"/>
        </w:rPr>
        <w:t>for MRO</w:t>
      </w:r>
    </w:p>
    <w:p w14:paraId="6FDE739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40475E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A2B7B2D" w14:textId="6E05634C" w:rsidR="00DA0A90" w:rsidRDefault="00DA0A90" w:rsidP="00CD4C7B">
      <w:r>
        <w:t>In 5G, the option of the gNB sp</w:t>
      </w:r>
      <w:r w:rsidR="00E209A1">
        <w:t>l</w:t>
      </w:r>
      <w:r>
        <w:t xml:space="preserve">it architecture is supported. In this case, the gNB is composed of a central unit (CU), a distributed unit (DU) and a radio unit (RU) </w:t>
      </w:r>
      <w:r w:rsidRPr="00DA0A90">
        <w:t>which can be deployed in multiple combinations.</w:t>
      </w:r>
      <w:r>
        <w:t xml:space="preserve"> </w:t>
      </w:r>
      <w:r w:rsidR="002900B0">
        <w:t>This means that not all information is present in all entities and some needs to be exchanged over defined interfaces, i.e. F1.</w:t>
      </w:r>
      <w:r w:rsidR="00CE1185">
        <w:t xml:space="preserve"> The</w:t>
      </w:r>
      <w:r w:rsidR="00A403C2">
        <w:t>re is also a functional split between the</w:t>
      </w:r>
      <w:r w:rsidR="00CE1185">
        <w:t xml:space="preserve"> </w:t>
      </w:r>
      <w:r w:rsidR="00A403C2">
        <w:t>gNB-CU and gNB-DU</w:t>
      </w:r>
      <w:r w:rsidR="00992266">
        <w:t xml:space="preserve"> and therefor</w:t>
      </w:r>
      <w:r w:rsidR="00211FE4">
        <w:t>e</w:t>
      </w:r>
      <w:r w:rsidR="00992266">
        <w:t xml:space="preserve"> of the information stored and processed</w:t>
      </w:r>
      <w:r w:rsidR="00A403C2">
        <w:t xml:space="preserve">: while the first deals with inter-cell mobility mechanisms, the latter one deals with </w:t>
      </w:r>
      <w:r w:rsidR="000E5F36">
        <w:t xml:space="preserve">e.g. </w:t>
      </w:r>
      <w:r w:rsidR="00A403C2">
        <w:t xml:space="preserve">intra-cell mobility </w:t>
      </w:r>
      <w:r w:rsidR="000E5F36">
        <w:t xml:space="preserve">(beam management) </w:t>
      </w:r>
      <w:r w:rsidR="00A403C2">
        <w:t xml:space="preserve">and </w:t>
      </w:r>
      <w:r w:rsidR="000E5F36">
        <w:t>radio link handling</w:t>
      </w:r>
      <w:r w:rsidR="00A403C2">
        <w:t>.</w:t>
      </w:r>
    </w:p>
    <w:p w14:paraId="26C2D698" w14:textId="01199533" w:rsidR="00FF37AA" w:rsidRDefault="00E171E9" w:rsidP="00CD4C7B">
      <w:r>
        <w:t>I</w:t>
      </w:r>
      <w:r w:rsidR="00DA0A90">
        <w:t xml:space="preserve">nformation about failure events </w:t>
      </w:r>
      <w:r w:rsidR="000E5F36">
        <w:t xml:space="preserve">provided via RRC signalling </w:t>
      </w:r>
      <w:r>
        <w:t xml:space="preserve">(UE RLF Report, RACH Report) </w:t>
      </w:r>
      <w:r w:rsidR="000E5F36">
        <w:t xml:space="preserve">will be </w:t>
      </w:r>
      <w:r w:rsidR="00B14F5A">
        <w:t xml:space="preserve">decoded </w:t>
      </w:r>
      <w:r w:rsidR="00DA0A90">
        <w:t xml:space="preserve">in the gNB-CU. </w:t>
      </w:r>
      <w:r w:rsidR="00EC4FED">
        <w:t>F</w:t>
      </w:r>
      <w:r w:rsidR="00BF7BA2">
        <w:t xml:space="preserve">orwarding of the UE RLF report </w:t>
      </w:r>
      <w:r w:rsidR="00EC4FED">
        <w:t xml:space="preserve">to the gNB-DU </w:t>
      </w:r>
      <w:r w:rsidR="00BF7BA2">
        <w:t>was discussed</w:t>
      </w:r>
      <w:r w:rsidR="00EC4FED">
        <w:t xml:space="preserve"> at previous meeting</w:t>
      </w:r>
      <w:r w:rsidR="00BF7BA2">
        <w:t xml:space="preserve">, and </w:t>
      </w:r>
      <w:r w:rsidR="00FF37AA">
        <w:t xml:space="preserve">it was </w:t>
      </w:r>
      <w:r w:rsidR="000E5F36">
        <w:t>captured in the SON-MDT session report</w:t>
      </w:r>
      <w:r w:rsidR="00EC4FED">
        <w:t xml:space="preserve"> under the MRO agenda item</w:t>
      </w:r>
      <w:bookmarkStart w:id="2" w:name="_GoBack"/>
      <w:bookmarkEnd w:id="2"/>
      <w:r w:rsidR="000E5F36">
        <w:t>:</w:t>
      </w:r>
      <w:r w:rsidR="00FF37AA">
        <w:t xml:space="preserve"> ‘UE RLF report f</w:t>
      </w:r>
      <w:r w:rsidR="00FF37AA" w:rsidRPr="00FF37AA">
        <w:t>rom CU to DU to be continued</w:t>
      </w:r>
      <w:r w:rsidR="00FF37AA">
        <w:t>’ [1].</w:t>
      </w:r>
      <w:r w:rsidR="00EC4FED">
        <w:t xml:space="preserve"> We here provide input for this discussion.</w:t>
      </w:r>
    </w:p>
    <w:p w14:paraId="1BAF535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301E284C" w14:textId="4A8DD31A" w:rsidR="002900B0" w:rsidRDefault="00FE6D40" w:rsidP="00FE6D40">
      <w:r>
        <w:t xml:space="preserve">In </w:t>
      </w:r>
      <w:r w:rsidR="00E171E9">
        <w:t>Rel-16</w:t>
      </w:r>
      <w:r>
        <w:t xml:space="preserve"> the gNB-CU will receive </w:t>
      </w:r>
      <w:r w:rsidR="00E171E9">
        <w:t xml:space="preserve">the UE </w:t>
      </w:r>
      <w:r>
        <w:t xml:space="preserve">RLF report from the UE or forwarded from neighbouring cells, informing it of </w:t>
      </w:r>
      <w:r w:rsidR="00E171E9">
        <w:t>connection failures and handover failures. Similar as for LTE, t</w:t>
      </w:r>
      <w:r>
        <w:t xml:space="preserve">hese </w:t>
      </w:r>
      <w:proofErr w:type="gramStart"/>
      <w:r>
        <w:t>have to</w:t>
      </w:r>
      <w:proofErr w:type="gramEnd"/>
      <w:r>
        <w:t xml:space="preserve"> be analysed</w:t>
      </w:r>
      <w:r w:rsidR="009457CD">
        <w:t xml:space="preserve"> in a timely manner</w:t>
      </w:r>
      <w:r>
        <w:t xml:space="preserve">, a root case </w:t>
      </w:r>
      <w:r w:rsidR="00347FF1">
        <w:t>determined,</w:t>
      </w:r>
      <w:r>
        <w:t xml:space="preserve"> and appropriate actions have to be taken. </w:t>
      </w:r>
    </w:p>
    <w:p w14:paraId="4D7CCF6A" w14:textId="77777777" w:rsidR="00B45DE8" w:rsidRDefault="00B45DE8" w:rsidP="00B45DE8">
      <w:pPr>
        <w:rPr>
          <w:lang w:eastAsia="zh-CN"/>
        </w:rPr>
      </w:pPr>
      <w:r>
        <w:t xml:space="preserve">According to BL CR agreed at RAN3#105, </w:t>
      </w:r>
      <w:r>
        <w:rPr>
          <w:lang w:eastAsia="zh-CN"/>
        </w:rPr>
        <w:t>Mobility Robustness Optimisation aims at detecting and enabling correction of following problems:</w:t>
      </w:r>
    </w:p>
    <w:p w14:paraId="482DF199" w14:textId="77777777" w:rsidR="00B45DE8" w:rsidRDefault="00B45DE8" w:rsidP="00B45DE8">
      <w:pPr>
        <w:ind w:firstLineChars="100" w:firstLine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Connection failure due to intra-system or inter-system mobility;</w:t>
      </w:r>
    </w:p>
    <w:p w14:paraId="259A4E21" w14:textId="77777777" w:rsidR="00B45DE8" w:rsidRDefault="00B45DE8" w:rsidP="00B45DE8">
      <w:pPr>
        <w:ind w:firstLineChars="100" w:firstLine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Inter-system Unnecessary HO (too early inter-system HO with no radio link failure);</w:t>
      </w:r>
    </w:p>
    <w:p w14:paraId="2BB40FC5" w14:textId="77777777" w:rsidR="00B45DE8" w:rsidRDefault="00B45DE8" w:rsidP="00B45DE8">
      <w:pPr>
        <w:ind w:firstLineChars="100" w:firstLine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Inter-system HO ping-pong.</w:t>
      </w:r>
    </w:p>
    <w:p w14:paraId="0F1578DA" w14:textId="6CFE1B1A" w:rsidR="00B45DE8" w:rsidRDefault="008266FB" w:rsidP="00FE6D40">
      <w:r>
        <w:t>T</w:t>
      </w:r>
      <w:r w:rsidR="00B45DE8">
        <w:t xml:space="preserve">he corrective actions that are associated to these problems </w:t>
      </w:r>
      <w:r>
        <w:t xml:space="preserve">all </w:t>
      </w:r>
      <w:r w:rsidR="00B45DE8">
        <w:t xml:space="preserve">consist in adjusting the handover </w:t>
      </w:r>
      <w:r>
        <w:t>conditions towards</w:t>
      </w:r>
      <w:r w:rsidR="00B45DE8">
        <w:t xml:space="preserve"> intra-system or inter-system neighbour cells. </w:t>
      </w:r>
      <w:r>
        <w:t xml:space="preserve">These handover conditions consist of timer settings and handover threshold (Cell Individual Offset (CIO)), which are all parameters controlled by the </w:t>
      </w:r>
      <w:r w:rsidR="00B65188">
        <w:t>gNB-CU and are not beam-related. Transfer of the UE RLF Report to the gNB-DU therefore doesn’t seem beneficial for the purpose of MRO.</w:t>
      </w:r>
    </w:p>
    <w:p w14:paraId="7E6191AF" w14:textId="52191CC1" w:rsidR="00B65188" w:rsidRPr="00E209A1" w:rsidRDefault="00B65188" w:rsidP="00FE6D40">
      <w:pPr>
        <w:rPr>
          <w:b/>
        </w:rPr>
      </w:pPr>
      <w:r w:rsidRPr="00E209A1">
        <w:rPr>
          <w:b/>
        </w:rPr>
        <w:t xml:space="preserve">Observation: MRO works on handover parameters under the control of the gNB-CU, and MRO use cases can therefore not justify transfer of the UE RLF Report to the gNB-DU. </w:t>
      </w:r>
    </w:p>
    <w:p w14:paraId="210A317B" w14:textId="62DC2214" w:rsidR="00B65188" w:rsidRDefault="00B65188" w:rsidP="00FE6D40">
      <w:proofErr w:type="gramStart"/>
      <w:r>
        <w:t>However</w:t>
      </w:r>
      <w:proofErr w:type="gramEnd"/>
      <w:r>
        <w:t xml:space="preserve"> the beam-related information contained in the UE RLF Report, as well as in the RACH Report, </w:t>
      </w:r>
      <w:r w:rsidR="00647361">
        <w:t>may serve for the purpose of RACH optimization. It is therefore proposed to further discuss the question of transfer of the UE RLF Report to the gNB-DU under the RACH Optimization agenda item.</w:t>
      </w:r>
    </w:p>
    <w:p w14:paraId="7FAAD602" w14:textId="56079DCE" w:rsidR="00B45DE8" w:rsidRPr="00E209A1" w:rsidRDefault="00647361" w:rsidP="00FE6D40">
      <w:pPr>
        <w:rPr>
          <w:b/>
        </w:rPr>
      </w:pPr>
      <w:r w:rsidRPr="00E209A1">
        <w:rPr>
          <w:b/>
        </w:rPr>
        <w:t>Proposal: RAN3 to further discuss the question of transfer of the UE RLF Report to the gNB-DU under the RACH Optimization agenda item.</w:t>
      </w:r>
    </w:p>
    <w:p w14:paraId="5D805800" w14:textId="77777777" w:rsidR="00766217" w:rsidRPr="00B14F5A" w:rsidRDefault="00766217" w:rsidP="00DA0A90"/>
    <w:p w14:paraId="0D846783" w14:textId="77777777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28C9D5A0" w14:textId="77777777" w:rsidR="00647361" w:rsidRPr="007B4F4C" w:rsidRDefault="00647361" w:rsidP="00647361">
      <w:pPr>
        <w:rPr>
          <w:b/>
        </w:rPr>
      </w:pPr>
      <w:r w:rsidRPr="007B4F4C">
        <w:rPr>
          <w:b/>
        </w:rPr>
        <w:t xml:space="preserve">Observation: MRO works on handover parameters under the control of the gNB-CU, and MRO use cases can therefore not justify transfer of the UE RLF Report to the gNB-DU. </w:t>
      </w:r>
    </w:p>
    <w:p w14:paraId="76E084EA" w14:textId="77777777" w:rsidR="00647361" w:rsidRPr="007B4F4C" w:rsidRDefault="00647361" w:rsidP="00647361">
      <w:pPr>
        <w:rPr>
          <w:b/>
        </w:rPr>
      </w:pPr>
      <w:r w:rsidRPr="007B4F4C">
        <w:rPr>
          <w:b/>
        </w:rPr>
        <w:t>Proposal: RAN3 to further discuss the question of transfer of the UE RLF Report to the gNB-DU under the RACH Optimization agenda item.</w:t>
      </w:r>
    </w:p>
    <w:p w14:paraId="5A9DE03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5AEC749" w14:textId="77777777" w:rsidR="00FF37AA" w:rsidRDefault="00AF78D5" w:rsidP="00FF37AA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 w:rsidR="00FF37AA">
        <w:t>RAN3#10</w:t>
      </w:r>
      <w:r w:rsidR="000E5F36">
        <w:t>5</w:t>
      </w:r>
      <w:r w:rsidR="0047771E">
        <w:t xml:space="preserve">, </w:t>
      </w:r>
      <w:r w:rsidR="0047771E" w:rsidRPr="0047771E">
        <w:t>SON/MDT Support for NR WI Session Report</w:t>
      </w:r>
      <w:r w:rsidR="00FF37AA">
        <w:t xml:space="preserve">, </w:t>
      </w:r>
      <w:r w:rsidR="0047771E" w:rsidRPr="0047771E">
        <w:t>R3-194653</w:t>
      </w:r>
    </w:p>
    <w:bookmarkEnd w:id="3"/>
    <w:p w14:paraId="67B72481" w14:textId="77777777" w:rsidR="00CD4C7B" w:rsidRPr="006E13D1" w:rsidRDefault="00CD4C7B" w:rsidP="00CD4C7B"/>
    <w:p w14:paraId="780044B9" w14:textId="77777777" w:rsidR="00CD4C7B" w:rsidRDefault="00CD4C7B" w:rsidP="00CD4C7B"/>
    <w:p w14:paraId="3D596192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9F4C8" w14:textId="77777777" w:rsidR="0056032D" w:rsidRDefault="0056032D">
      <w:r>
        <w:separator/>
      </w:r>
    </w:p>
  </w:endnote>
  <w:endnote w:type="continuationSeparator" w:id="0">
    <w:p w14:paraId="192AA772" w14:textId="77777777" w:rsidR="0056032D" w:rsidRDefault="0056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D3AE8" w14:textId="77777777" w:rsidR="0056032D" w:rsidRDefault="0056032D">
      <w:r>
        <w:separator/>
      </w:r>
    </w:p>
  </w:footnote>
  <w:footnote w:type="continuationSeparator" w:id="0">
    <w:p w14:paraId="5D205885" w14:textId="77777777" w:rsidR="0056032D" w:rsidRDefault="00560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41D63"/>
    <w:multiLevelType w:val="hybridMultilevel"/>
    <w:tmpl w:val="240C5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0E5F36"/>
    <w:rsid w:val="001075B7"/>
    <w:rsid w:val="001370F2"/>
    <w:rsid w:val="001549DD"/>
    <w:rsid w:val="00194CD0"/>
    <w:rsid w:val="001B08B3"/>
    <w:rsid w:val="001C4281"/>
    <w:rsid w:val="001D0D3F"/>
    <w:rsid w:val="001D3894"/>
    <w:rsid w:val="001F168B"/>
    <w:rsid w:val="001F70B7"/>
    <w:rsid w:val="00211FE4"/>
    <w:rsid w:val="00225728"/>
    <w:rsid w:val="0022606D"/>
    <w:rsid w:val="002305DD"/>
    <w:rsid w:val="00243BC7"/>
    <w:rsid w:val="0026192E"/>
    <w:rsid w:val="002623FC"/>
    <w:rsid w:val="002639BF"/>
    <w:rsid w:val="002747EC"/>
    <w:rsid w:val="002855BF"/>
    <w:rsid w:val="002900B0"/>
    <w:rsid w:val="002E1692"/>
    <w:rsid w:val="002F0D22"/>
    <w:rsid w:val="003172DC"/>
    <w:rsid w:val="00326069"/>
    <w:rsid w:val="003454FC"/>
    <w:rsid w:val="00347FF1"/>
    <w:rsid w:val="0035462D"/>
    <w:rsid w:val="00363177"/>
    <w:rsid w:val="00387006"/>
    <w:rsid w:val="003B3F88"/>
    <w:rsid w:val="003B3FB3"/>
    <w:rsid w:val="003B4524"/>
    <w:rsid w:val="003C4E37"/>
    <w:rsid w:val="003E16BE"/>
    <w:rsid w:val="003E5473"/>
    <w:rsid w:val="003E7223"/>
    <w:rsid w:val="00401855"/>
    <w:rsid w:val="00464695"/>
    <w:rsid w:val="0047771E"/>
    <w:rsid w:val="004D20E8"/>
    <w:rsid w:val="004D3578"/>
    <w:rsid w:val="004D380D"/>
    <w:rsid w:val="004D3F58"/>
    <w:rsid w:val="004D5E47"/>
    <w:rsid w:val="004E213A"/>
    <w:rsid w:val="004E21FC"/>
    <w:rsid w:val="00503171"/>
    <w:rsid w:val="005153FE"/>
    <w:rsid w:val="00515E0C"/>
    <w:rsid w:val="005240A4"/>
    <w:rsid w:val="00534DA0"/>
    <w:rsid w:val="00543E6C"/>
    <w:rsid w:val="00544635"/>
    <w:rsid w:val="0056032D"/>
    <w:rsid w:val="00565087"/>
    <w:rsid w:val="0056573F"/>
    <w:rsid w:val="00571CE2"/>
    <w:rsid w:val="005A4971"/>
    <w:rsid w:val="005B1232"/>
    <w:rsid w:val="005B2EEF"/>
    <w:rsid w:val="005D4274"/>
    <w:rsid w:val="00605E3E"/>
    <w:rsid w:val="00606DA9"/>
    <w:rsid w:val="00611566"/>
    <w:rsid w:val="00647361"/>
    <w:rsid w:val="00656E1E"/>
    <w:rsid w:val="006C54B5"/>
    <w:rsid w:val="006D1E24"/>
    <w:rsid w:val="00731D37"/>
    <w:rsid w:val="00734A5B"/>
    <w:rsid w:val="00743525"/>
    <w:rsid w:val="00744E76"/>
    <w:rsid w:val="007476DB"/>
    <w:rsid w:val="00751E7B"/>
    <w:rsid w:val="00757D40"/>
    <w:rsid w:val="00766217"/>
    <w:rsid w:val="00774846"/>
    <w:rsid w:val="00781F0F"/>
    <w:rsid w:val="0078727C"/>
    <w:rsid w:val="007B626F"/>
    <w:rsid w:val="007C095F"/>
    <w:rsid w:val="00802106"/>
    <w:rsid w:val="008028A4"/>
    <w:rsid w:val="00806520"/>
    <w:rsid w:val="008266FB"/>
    <w:rsid w:val="00840916"/>
    <w:rsid w:val="00853EDD"/>
    <w:rsid w:val="00855FCA"/>
    <w:rsid w:val="008604EE"/>
    <w:rsid w:val="008768CA"/>
    <w:rsid w:val="00880559"/>
    <w:rsid w:val="0088061E"/>
    <w:rsid w:val="008D1F00"/>
    <w:rsid w:val="0090271F"/>
    <w:rsid w:val="00903D8C"/>
    <w:rsid w:val="00942EC2"/>
    <w:rsid w:val="009457CD"/>
    <w:rsid w:val="00954BCB"/>
    <w:rsid w:val="00961B32"/>
    <w:rsid w:val="00971683"/>
    <w:rsid w:val="00972FD7"/>
    <w:rsid w:val="00974BB0"/>
    <w:rsid w:val="00992266"/>
    <w:rsid w:val="009A6E4F"/>
    <w:rsid w:val="009C4D5C"/>
    <w:rsid w:val="009D0A28"/>
    <w:rsid w:val="009F3B54"/>
    <w:rsid w:val="009F7E6E"/>
    <w:rsid w:val="00A10F02"/>
    <w:rsid w:val="00A403C2"/>
    <w:rsid w:val="00A53724"/>
    <w:rsid w:val="00A71C02"/>
    <w:rsid w:val="00A82346"/>
    <w:rsid w:val="00A8361A"/>
    <w:rsid w:val="00A9671C"/>
    <w:rsid w:val="00AC544D"/>
    <w:rsid w:val="00AD4BCF"/>
    <w:rsid w:val="00AF78D5"/>
    <w:rsid w:val="00B14F5A"/>
    <w:rsid w:val="00B15449"/>
    <w:rsid w:val="00B45DE8"/>
    <w:rsid w:val="00B65188"/>
    <w:rsid w:val="00B9781E"/>
    <w:rsid w:val="00BF79F1"/>
    <w:rsid w:val="00BF7BA2"/>
    <w:rsid w:val="00C03035"/>
    <w:rsid w:val="00C33079"/>
    <w:rsid w:val="00C43B31"/>
    <w:rsid w:val="00CA3D0C"/>
    <w:rsid w:val="00CB6651"/>
    <w:rsid w:val="00CB6887"/>
    <w:rsid w:val="00CD4C7B"/>
    <w:rsid w:val="00CE1185"/>
    <w:rsid w:val="00D22038"/>
    <w:rsid w:val="00D23662"/>
    <w:rsid w:val="00D738D6"/>
    <w:rsid w:val="00D80795"/>
    <w:rsid w:val="00D87E00"/>
    <w:rsid w:val="00D9134D"/>
    <w:rsid w:val="00D97CD9"/>
    <w:rsid w:val="00DA0A90"/>
    <w:rsid w:val="00DA7A03"/>
    <w:rsid w:val="00DB1818"/>
    <w:rsid w:val="00DB771E"/>
    <w:rsid w:val="00DC309B"/>
    <w:rsid w:val="00DC4DA2"/>
    <w:rsid w:val="00DE1406"/>
    <w:rsid w:val="00E07838"/>
    <w:rsid w:val="00E13035"/>
    <w:rsid w:val="00E171E9"/>
    <w:rsid w:val="00E209A1"/>
    <w:rsid w:val="00E340BC"/>
    <w:rsid w:val="00E62835"/>
    <w:rsid w:val="00E77645"/>
    <w:rsid w:val="00E852FF"/>
    <w:rsid w:val="00E90ABE"/>
    <w:rsid w:val="00EA22F8"/>
    <w:rsid w:val="00EC4A25"/>
    <w:rsid w:val="00EC4FED"/>
    <w:rsid w:val="00EE0A1E"/>
    <w:rsid w:val="00EF24E5"/>
    <w:rsid w:val="00F025A2"/>
    <w:rsid w:val="00F2026E"/>
    <w:rsid w:val="00F2210A"/>
    <w:rsid w:val="00F37743"/>
    <w:rsid w:val="00F54A3D"/>
    <w:rsid w:val="00F5681D"/>
    <w:rsid w:val="00F653B8"/>
    <w:rsid w:val="00F76F8F"/>
    <w:rsid w:val="00F86AFB"/>
    <w:rsid w:val="00FA1266"/>
    <w:rsid w:val="00FB2BEA"/>
    <w:rsid w:val="00FC1192"/>
    <w:rsid w:val="00FE6D40"/>
    <w:rsid w:val="00FF37AA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F5DD43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771E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211F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1FE4"/>
    <w:rPr>
      <w:rFonts w:ascii="Segoe UI" w:hAnsi="Segoe UI" w:cs="Segoe UI"/>
      <w:sz w:val="18"/>
      <w:szCs w:val="18"/>
      <w:lang w:eastAsia="en-US"/>
    </w:rPr>
  </w:style>
  <w:style w:type="character" w:customStyle="1" w:styleId="TALChar">
    <w:name w:val="TAL Char"/>
    <w:link w:val="TAL"/>
    <w:rsid w:val="00E13035"/>
    <w:rPr>
      <w:rFonts w:ascii="Arial" w:hAnsi="Arial"/>
      <w:sz w:val="18"/>
      <w:lang w:eastAsia="en-US"/>
    </w:rPr>
  </w:style>
  <w:style w:type="character" w:styleId="CommentReference">
    <w:name w:val="annotation reference"/>
    <w:rsid w:val="003B45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4524"/>
  </w:style>
  <w:style w:type="character" w:customStyle="1" w:styleId="CommentTextChar">
    <w:name w:val="Comment Text Char"/>
    <w:link w:val="CommentText"/>
    <w:rsid w:val="003B45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4524"/>
    <w:rPr>
      <w:b/>
      <w:bCs/>
    </w:rPr>
  </w:style>
  <w:style w:type="character" w:customStyle="1" w:styleId="CommentSubjectChar">
    <w:name w:val="Comment Subject Char"/>
    <w:link w:val="CommentSubject"/>
    <w:rsid w:val="003B452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6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5AIRPNAIUNRU-1083777305-615</_dlc_DocId>
    <_dlc_DocIdUrl xmlns="71c5aaf6-e6ce-465b-b873-5148d2a4c105">
      <Url>https://nokia.sharepoint.com/sites/c5g/projects/flexiaccess/_layouts/15/DocIdRedir.aspx?ID=5AIRPNAIUNRU-1083777305-615</Url>
      <Description>5AIRPNAIUNRU-1083777305-615</Description>
    </_dlc_DocIdUrl>
    <HideFromDelve xmlns="71c5aaf6-e6ce-465b-b873-5148d2a4c105">false</HideFromDelve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6BC887-A070-455D-B7F0-0719192F75F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02572F-7959-4727-A4B4-8915E011B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3961B5-3211-4507-9AA2-B5A72B7A67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4CF7FA1-E75C-4350-8769-9CAE697030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E1B3F6-4809-41EC-BCBA-15C90DE391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264</TotalTime>
  <Pages>2</Pages>
  <Words>507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26</cp:revision>
  <dcterms:created xsi:type="dcterms:W3CDTF">2019-06-29T13:33:00Z</dcterms:created>
  <dcterms:modified xsi:type="dcterms:W3CDTF">2019-10-04T20:43:00Z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78b02c24-2b07-41a5-8c93-bbfb59c435e5</vt:lpwstr>
  </property>
</Properties>
</file>